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837" w:rsidRPr="007A5702" w:rsidRDefault="009E1837" w:rsidP="00AD14F5">
      <w:pPr>
        <w:rPr>
          <w:szCs w:val="32"/>
        </w:rPr>
      </w:pPr>
      <w:r w:rsidRPr="007A5702">
        <w:rPr>
          <w:szCs w:val="32"/>
        </w:rPr>
        <w:t>Il piano economico-finanziario è lo strumento che garantisce l’equilibrio gestionale nei contratti di partenariato pubblico-privato, pertanto la sua revisione deve essere oggetto di attenta valutazione e deve dipendere da eventi non imputabili all’operatore economico privato.</w:t>
      </w:r>
    </w:p>
    <w:p w:rsidR="009E1837" w:rsidRPr="007A5702" w:rsidRDefault="009E1837" w:rsidP="00AD14F5">
      <w:pPr>
        <w:rPr>
          <w:szCs w:val="32"/>
        </w:rPr>
      </w:pPr>
      <w:r w:rsidRPr="007A5702">
        <w:rPr>
          <w:szCs w:val="32"/>
        </w:rPr>
        <w:t xml:space="preserve">Le linee-guida Anac n. 9 precisano le finalità del pef e i suoi contenuti essenziali, nonché </w:t>
      </w:r>
      <w:r w:rsidR="00BD7E4F" w:rsidRPr="007A5702">
        <w:rPr>
          <w:szCs w:val="32"/>
        </w:rPr>
        <w:t>chiariscono le modalità per la sua rimodulazione, qualora si realizzino i particolari presupposti previsti dal codice dei contratti pubblici e specificati nel singolo rapporto con il partner prvato attraverso gli strumenti convenzionali.</w:t>
      </w:r>
    </w:p>
    <w:p w:rsidR="007A5702" w:rsidRDefault="007A5702" w:rsidP="00AD14F5">
      <w:pPr>
        <w:pStyle w:val="Paragrafoelenco"/>
        <w:tabs>
          <w:tab w:val="left" w:pos="782"/>
        </w:tabs>
        <w:ind w:left="0" w:firstLine="0"/>
        <w:rPr>
          <w:rFonts w:ascii="Verdana" w:hAnsi="Verdana"/>
          <w:sz w:val="32"/>
          <w:szCs w:val="32"/>
          <w:lang w:val="it-IT"/>
        </w:rPr>
      </w:pPr>
      <w:r w:rsidRPr="007A5702">
        <w:rPr>
          <w:rFonts w:ascii="Verdana" w:hAnsi="Verdana"/>
          <w:sz w:val="32"/>
          <w:szCs w:val="32"/>
          <w:lang w:val="it-IT"/>
        </w:rPr>
        <w:t>L’</w:t>
      </w:r>
      <w:r>
        <w:rPr>
          <w:rFonts w:ascii="Verdana" w:hAnsi="Verdana"/>
          <w:sz w:val="32"/>
          <w:szCs w:val="32"/>
          <w:lang w:val="it-IT"/>
        </w:rPr>
        <w:t>Anac chiarisce che l’</w:t>
      </w:r>
      <w:r w:rsidRPr="007A5702">
        <w:rPr>
          <w:rFonts w:ascii="Verdana" w:hAnsi="Verdana"/>
          <w:sz w:val="32"/>
          <w:szCs w:val="32"/>
          <w:lang w:val="it-IT"/>
        </w:rPr>
        <w:t>equilibrio</w:t>
      </w:r>
      <w:r w:rsidRPr="007A5702">
        <w:rPr>
          <w:rFonts w:ascii="Verdana" w:hAnsi="Verdana"/>
          <w:spacing w:val="-1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economico</w:t>
      </w:r>
      <w:r w:rsidRPr="007A5702">
        <w:rPr>
          <w:rFonts w:ascii="Verdana" w:hAnsi="Verdana"/>
          <w:spacing w:val="-1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</w:t>
      </w:r>
      <w:r w:rsidRPr="007A5702">
        <w:rPr>
          <w:rFonts w:ascii="Verdana" w:hAnsi="Verdana"/>
          <w:spacing w:val="-1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finanziario</w:t>
      </w:r>
      <w:r>
        <w:rPr>
          <w:rFonts w:ascii="Verdana" w:hAnsi="Verdana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si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realizza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quando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flussi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cassa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derivanti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dai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ricavi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contratto coprono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flussi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cassa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derivanti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dai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costi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ammessi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per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l’esecuzione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contratto,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inclusi quelli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relativi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all’ammortamento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capitale</w:t>
      </w:r>
      <w:r w:rsidRPr="007A5702">
        <w:rPr>
          <w:rFonts w:ascii="Verdana" w:hAnsi="Verdana"/>
          <w:spacing w:val="-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investito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netto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alla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remunerazione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dello stesso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ad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un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tasso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che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può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essere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definito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congruo</w:t>
      </w:r>
      <w:r>
        <w:rPr>
          <w:rFonts w:ascii="Verdana" w:hAnsi="Verdana"/>
          <w:spacing w:val="-30"/>
          <w:sz w:val="32"/>
          <w:szCs w:val="32"/>
          <w:lang w:val="it-IT"/>
        </w:rPr>
        <w:t xml:space="preserve">, nonché </w:t>
      </w:r>
      <w:r w:rsidRPr="007A5702">
        <w:rPr>
          <w:rFonts w:ascii="Verdana" w:hAnsi="Verdana"/>
          <w:sz w:val="32"/>
          <w:szCs w:val="32"/>
          <w:lang w:val="it-IT"/>
        </w:rPr>
        <w:t>quelli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richiesti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per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versare</w:t>
      </w:r>
      <w:r w:rsidRPr="007A5702">
        <w:rPr>
          <w:rFonts w:ascii="Verdana" w:hAnsi="Verdana"/>
          <w:spacing w:val="-3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le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 xml:space="preserve">imposte. </w:t>
      </w:r>
    </w:p>
    <w:p w:rsidR="007A5702" w:rsidRDefault="007A5702" w:rsidP="00AD14F5">
      <w:pPr>
        <w:pStyle w:val="Paragrafoelenco"/>
        <w:tabs>
          <w:tab w:val="left" w:pos="782"/>
        </w:tabs>
        <w:ind w:left="0" w:firstLine="0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>L’</w:t>
      </w:r>
      <w:r w:rsidRPr="007A5702">
        <w:rPr>
          <w:rFonts w:ascii="Verdana" w:hAnsi="Verdana"/>
          <w:sz w:val="32"/>
          <w:szCs w:val="32"/>
          <w:lang w:val="it-IT"/>
        </w:rPr>
        <w:t xml:space="preserve">equilibrio è rappresentato dai valori di specifici indicatori </w:t>
      </w:r>
      <w:r>
        <w:rPr>
          <w:rFonts w:ascii="Verdana" w:hAnsi="Verdana"/>
          <w:sz w:val="32"/>
          <w:szCs w:val="32"/>
          <w:lang w:val="it-IT"/>
        </w:rPr>
        <w:t xml:space="preserve">che devono essere </w:t>
      </w:r>
      <w:r w:rsidRPr="007A5702">
        <w:rPr>
          <w:rFonts w:ascii="Verdana" w:hAnsi="Verdana"/>
          <w:sz w:val="32"/>
          <w:szCs w:val="32"/>
          <w:lang w:val="it-IT"/>
        </w:rPr>
        <w:t xml:space="preserve">esposti nel </w:t>
      </w:r>
      <w:r>
        <w:rPr>
          <w:rFonts w:ascii="Verdana" w:hAnsi="Verdana"/>
          <w:sz w:val="32"/>
          <w:szCs w:val="32"/>
          <w:lang w:val="it-IT"/>
        </w:rPr>
        <w:t>pef</w:t>
      </w:r>
      <w:r w:rsidRPr="007A5702">
        <w:rPr>
          <w:rFonts w:ascii="Verdana" w:hAnsi="Verdana"/>
          <w:sz w:val="32"/>
          <w:szCs w:val="32"/>
          <w:lang w:val="it-IT"/>
        </w:rPr>
        <w:t xml:space="preserve"> ed individuati in </w:t>
      </w:r>
      <w:r>
        <w:rPr>
          <w:rFonts w:ascii="Verdana" w:hAnsi="Verdana"/>
          <w:sz w:val="32"/>
          <w:szCs w:val="32"/>
          <w:lang w:val="it-IT"/>
        </w:rPr>
        <w:t xml:space="preserve">base alla </w:t>
      </w:r>
      <w:r w:rsidRPr="007A5702">
        <w:rPr>
          <w:rFonts w:ascii="Verdana" w:hAnsi="Verdana"/>
          <w:sz w:val="32"/>
          <w:szCs w:val="32"/>
          <w:lang w:val="it-IT"/>
        </w:rPr>
        <w:t xml:space="preserve">metodologia utilizzata per l’analisi di convenienza economica e sostenibilità finanziaria del progetto. </w:t>
      </w:r>
    </w:p>
    <w:p w:rsidR="007A5702" w:rsidRDefault="007A5702" w:rsidP="00AD14F5">
      <w:pPr>
        <w:pStyle w:val="Paragrafoelenco"/>
        <w:tabs>
          <w:tab w:val="left" w:pos="782"/>
        </w:tabs>
        <w:ind w:left="0" w:firstLine="0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 xml:space="preserve">L’Anac evidenzia alcuni dei principali indicatori utilizzabili, come </w:t>
      </w:r>
    </w:p>
    <w:p w:rsidR="00AD14F5" w:rsidRDefault="007A5702" w:rsidP="00AD14F5">
      <w:pPr>
        <w:pStyle w:val="Paragrafoelenco"/>
        <w:tabs>
          <w:tab w:val="left" w:pos="1785"/>
        </w:tabs>
        <w:ind w:left="0" w:firstLine="0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 xml:space="preserve">quelli che misurano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capacità</w:t>
      </w:r>
      <w:r w:rsidRPr="007A5702">
        <w:rPr>
          <w:rFonts w:ascii="Verdana" w:hAnsi="Verdana"/>
          <w:spacing w:val="-18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18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progetto</w:t>
      </w:r>
      <w:r w:rsidRPr="007A5702">
        <w:rPr>
          <w:rFonts w:ascii="Verdana" w:hAnsi="Verdana"/>
          <w:spacing w:val="-17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18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generare</w:t>
      </w:r>
      <w:r w:rsidRPr="007A5702">
        <w:rPr>
          <w:rFonts w:ascii="Verdana" w:hAnsi="Verdana"/>
          <w:spacing w:val="-17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ricchezza</w:t>
      </w:r>
      <w:r>
        <w:rPr>
          <w:rFonts w:ascii="Verdana" w:hAnsi="Verdana"/>
          <w:w w:val="95"/>
          <w:sz w:val="32"/>
          <w:szCs w:val="32"/>
          <w:lang w:val="it-IT"/>
        </w:rPr>
        <w:t xml:space="preserve"> (es. </w:t>
      </w:r>
      <w:r w:rsidRPr="007A5702">
        <w:rPr>
          <w:rFonts w:ascii="Verdana" w:hAnsi="Verdana"/>
          <w:sz w:val="32"/>
          <w:szCs w:val="32"/>
          <w:lang w:val="it-IT"/>
        </w:rPr>
        <w:t>il</w:t>
      </w:r>
      <w:r w:rsidRPr="007A5702">
        <w:rPr>
          <w:rFonts w:ascii="Verdana" w:hAnsi="Verdana"/>
          <w:spacing w:val="-4"/>
          <w:sz w:val="32"/>
          <w:szCs w:val="32"/>
          <w:lang w:val="it-IT"/>
        </w:rPr>
        <w:t xml:space="preserve"> </w:t>
      </w:r>
      <w:r>
        <w:rPr>
          <w:rFonts w:ascii="Verdana" w:hAnsi="Verdana"/>
          <w:sz w:val="32"/>
          <w:szCs w:val="32"/>
          <w:lang w:val="it-IT"/>
        </w:rPr>
        <w:t>t</w:t>
      </w:r>
      <w:r w:rsidRPr="007A5702">
        <w:rPr>
          <w:rFonts w:ascii="Verdana" w:hAnsi="Verdana"/>
          <w:sz w:val="32"/>
          <w:szCs w:val="32"/>
          <w:lang w:val="it-IT"/>
        </w:rPr>
        <w:t>asso</w:t>
      </w:r>
      <w:r w:rsidRPr="007A5702">
        <w:rPr>
          <w:rFonts w:ascii="Verdana" w:hAnsi="Verdana"/>
          <w:spacing w:val="-4"/>
          <w:sz w:val="32"/>
          <w:szCs w:val="32"/>
          <w:lang w:val="it-IT"/>
        </w:rPr>
        <w:t xml:space="preserve"> </w:t>
      </w:r>
      <w:r>
        <w:rPr>
          <w:rFonts w:ascii="Verdana" w:hAnsi="Verdana"/>
          <w:sz w:val="32"/>
          <w:szCs w:val="32"/>
          <w:lang w:val="it-IT"/>
        </w:rPr>
        <w:t>i</w:t>
      </w:r>
      <w:r w:rsidRPr="007A5702">
        <w:rPr>
          <w:rFonts w:ascii="Verdana" w:hAnsi="Verdana"/>
          <w:sz w:val="32"/>
          <w:szCs w:val="32"/>
          <w:lang w:val="it-IT"/>
        </w:rPr>
        <w:t>nterno</w:t>
      </w:r>
      <w:r w:rsidRPr="007A5702">
        <w:rPr>
          <w:rFonts w:ascii="Verdana" w:hAnsi="Verdana"/>
          <w:spacing w:val="-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4"/>
          <w:sz w:val="32"/>
          <w:szCs w:val="32"/>
          <w:lang w:val="it-IT"/>
        </w:rPr>
        <w:t xml:space="preserve"> </w:t>
      </w:r>
      <w:r>
        <w:rPr>
          <w:rFonts w:ascii="Verdana" w:hAnsi="Verdana"/>
          <w:sz w:val="32"/>
          <w:szCs w:val="32"/>
          <w:lang w:val="it-IT"/>
        </w:rPr>
        <w:t>r</w:t>
      </w:r>
      <w:r w:rsidRPr="007A5702">
        <w:rPr>
          <w:rFonts w:ascii="Verdana" w:hAnsi="Verdana"/>
          <w:sz w:val="32"/>
          <w:szCs w:val="32"/>
          <w:lang w:val="it-IT"/>
        </w:rPr>
        <w:t>endimento</w:t>
      </w:r>
      <w:r>
        <w:rPr>
          <w:rFonts w:ascii="Verdana" w:hAnsi="Verdana"/>
          <w:spacing w:val="-4"/>
          <w:sz w:val="32"/>
          <w:szCs w:val="32"/>
          <w:lang w:val="it-IT"/>
        </w:rPr>
        <w:t xml:space="preserve"> o il valore attuale netto)</w:t>
      </w:r>
      <w:r>
        <w:rPr>
          <w:rFonts w:ascii="Verdana" w:hAnsi="Verdana"/>
          <w:sz w:val="32"/>
          <w:szCs w:val="32"/>
          <w:lang w:val="it-IT"/>
        </w:rPr>
        <w:t xml:space="preserve">, quelli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riferimento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per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la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redditività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dell’operatore</w:t>
      </w:r>
      <w:r w:rsidRPr="007A5702">
        <w:rPr>
          <w:rFonts w:ascii="Verdana" w:hAnsi="Verdana"/>
          <w:spacing w:val="-2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economico</w:t>
      </w:r>
      <w:r>
        <w:rPr>
          <w:rFonts w:ascii="Verdana" w:hAnsi="Verdana"/>
          <w:sz w:val="32"/>
          <w:szCs w:val="32"/>
          <w:lang w:val="it-IT"/>
        </w:rPr>
        <w:t xml:space="preserve"> o quelli che misurano la </w:t>
      </w:r>
      <w:r w:rsidRPr="007A5702">
        <w:rPr>
          <w:rFonts w:ascii="Verdana" w:hAnsi="Verdana"/>
          <w:sz w:val="32"/>
          <w:szCs w:val="32"/>
          <w:lang w:val="it-IT"/>
        </w:rPr>
        <w:t>sostenibilità finanziaria del progetto</w:t>
      </w:r>
      <w:r>
        <w:rPr>
          <w:rFonts w:ascii="Verdana" w:hAnsi="Verdana"/>
          <w:sz w:val="32"/>
          <w:szCs w:val="32"/>
          <w:lang w:val="it-IT"/>
        </w:rPr>
        <w:t xml:space="preserve"> (es. </w:t>
      </w:r>
      <w:r w:rsidRPr="007A5702">
        <w:rPr>
          <w:rFonts w:ascii="Verdana" w:hAnsi="Verdana"/>
          <w:sz w:val="32"/>
          <w:szCs w:val="32"/>
          <w:lang w:val="it-IT"/>
        </w:rPr>
        <w:t>il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rapporto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tra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l’importo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flusso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cassa disponibile in un determinato periodo e il servizio del debito per</w:t>
      </w:r>
      <w:r w:rsidRPr="007A5702">
        <w:rPr>
          <w:rFonts w:ascii="Verdana" w:hAnsi="Verdana"/>
          <w:spacing w:val="-1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il</w:t>
      </w:r>
      <w:r w:rsidRPr="007A5702">
        <w:rPr>
          <w:rFonts w:ascii="Verdana" w:hAnsi="Verdana"/>
          <w:spacing w:val="-1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medesimo</w:t>
      </w:r>
      <w:r w:rsidRPr="007A5702">
        <w:rPr>
          <w:rFonts w:ascii="Verdana" w:hAnsi="Verdana"/>
          <w:spacing w:val="-1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periodo</w:t>
      </w:r>
      <w:r w:rsidR="00AD14F5">
        <w:rPr>
          <w:rFonts w:ascii="Verdana" w:hAnsi="Verdana"/>
          <w:sz w:val="32"/>
          <w:szCs w:val="32"/>
          <w:lang w:val="it-IT"/>
        </w:rPr>
        <w:t>).</w:t>
      </w: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>Le linee-guida n. 9 chiariscono anche quando il pef può considerarsi in equilibrio, precisando i parametri essenziali che devono essere rilevati in rapporto ai vari indicatori (es. quando il valore attuale netto è pari a zero).</w:t>
      </w: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 xml:space="preserve">La revisione del pef è possibile quando si verifichino eventi non imputabili all’operatore economico, determinati da cause di </w:t>
      </w:r>
      <w:r>
        <w:rPr>
          <w:rFonts w:ascii="Verdana" w:hAnsi="Verdana"/>
          <w:sz w:val="32"/>
          <w:szCs w:val="32"/>
          <w:lang w:val="it-IT"/>
        </w:rPr>
        <w:lastRenderedPageBreak/>
        <w:t>forza maggiore, che rendano più oneroso o impossibile l’adempimento delle obbligazioni contrattuali.</w:t>
      </w: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  <w:r>
        <w:rPr>
          <w:rFonts w:ascii="Verdana" w:hAnsi="Verdana"/>
          <w:sz w:val="32"/>
          <w:szCs w:val="32"/>
          <w:lang w:val="it-IT"/>
        </w:rPr>
        <w:t xml:space="preserve">Proprio nel contratto l’amministrazione deve dettagliare i casi di forza maggiore che possono incidere sull’equilibrio economico-finanziario, come ad esempio i </w:t>
      </w:r>
      <w:r w:rsidRPr="007A5702">
        <w:rPr>
          <w:rFonts w:ascii="Verdana" w:hAnsi="Verdana"/>
          <w:sz w:val="32"/>
          <w:szCs w:val="32"/>
          <w:lang w:val="it-IT"/>
        </w:rPr>
        <w:t>fenomeni</w:t>
      </w:r>
      <w:r>
        <w:rPr>
          <w:rFonts w:ascii="Verdana" w:hAnsi="Verdana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naturali</w:t>
      </w:r>
      <w:r>
        <w:rPr>
          <w:rFonts w:ascii="Verdana" w:hAnsi="Verdana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avvers</w:t>
      </w:r>
      <w:r>
        <w:rPr>
          <w:rFonts w:ascii="Verdana" w:hAnsi="Verdana"/>
          <w:sz w:val="32"/>
          <w:szCs w:val="32"/>
          <w:lang w:val="it-IT"/>
        </w:rPr>
        <w:t xml:space="preserve">i di </w:t>
      </w:r>
      <w:r w:rsidRPr="007A5702">
        <w:rPr>
          <w:rFonts w:ascii="Verdana" w:hAnsi="Verdana"/>
          <w:sz w:val="32"/>
          <w:szCs w:val="32"/>
          <w:lang w:val="it-IT"/>
        </w:rPr>
        <w:t>particolare</w:t>
      </w:r>
      <w:r w:rsidRPr="007A5702">
        <w:rPr>
          <w:rFonts w:ascii="Verdana" w:hAnsi="Verdana"/>
          <w:sz w:val="32"/>
          <w:szCs w:val="32"/>
          <w:lang w:val="it-IT"/>
        </w:rPr>
        <w:tab/>
        <w:t>gravità</w:t>
      </w:r>
      <w:r w:rsidRPr="007A5702">
        <w:rPr>
          <w:rFonts w:ascii="Verdana" w:hAnsi="Verdana"/>
          <w:sz w:val="32"/>
          <w:szCs w:val="32"/>
          <w:lang w:val="it-IT"/>
        </w:rPr>
        <w:tab/>
        <w:t>ed</w:t>
      </w:r>
      <w:r w:rsidR="001B1880">
        <w:rPr>
          <w:rFonts w:ascii="Verdana" w:hAnsi="Verdana"/>
          <w:sz w:val="32"/>
          <w:szCs w:val="32"/>
          <w:lang w:val="it-IT"/>
        </w:rPr>
        <w:t xml:space="preserve"> eccezionalità</w:t>
      </w:r>
      <w:r w:rsidRPr="007A5702">
        <w:rPr>
          <w:rFonts w:ascii="Verdana" w:hAnsi="Verdana"/>
          <w:sz w:val="32"/>
          <w:szCs w:val="32"/>
          <w:lang w:val="it-IT"/>
        </w:rPr>
        <w:tab/>
      </w:r>
      <w:r w:rsidR="001B1880" w:rsidRPr="001B1880">
        <w:rPr>
          <w:rFonts w:ascii="Verdana" w:hAnsi="Verdana"/>
          <w:sz w:val="32"/>
          <w:szCs w:val="32"/>
          <w:highlight w:val="yellow"/>
          <w:lang w:val="it-IT"/>
        </w:rPr>
        <w:t xml:space="preserve">o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l’indisponibilità di energia,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 xml:space="preserve"> gas o acqua per cause non imputabili all’amministrazione,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all’operatore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economico</w:t>
      </w:r>
      <w:r w:rsidRPr="001B1880">
        <w:rPr>
          <w:rFonts w:ascii="Verdana" w:hAnsi="Verdana"/>
          <w:spacing w:val="-8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o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a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terzi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affidatari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di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lavori</w:t>
      </w:r>
      <w:r w:rsidRPr="001B1880">
        <w:rPr>
          <w:rFonts w:ascii="Verdana" w:hAnsi="Verdana"/>
          <w:spacing w:val="-6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o</w:t>
      </w:r>
      <w:r w:rsidRPr="001B1880">
        <w:rPr>
          <w:rFonts w:ascii="Verdana" w:hAnsi="Verdana"/>
          <w:spacing w:val="-7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servizi oggetto del</w:t>
      </w:r>
      <w:r w:rsidRPr="001B1880">
        <w:rPr>
          <w:rFonts w:ascii="Verdana" w:hAnsi="Verdana"/>
          <w:spacing w:val="5"/>
          <w:sz w:val="32"/>
          <w:szCs w:val="32"/>
          <w:highlight w:val="yellow"/>
          <w:lang w:val="it-IT"/>
        </w:rPr>
        <w:t xml:space="preserve"> 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contratto.</w:t>
      </w:r>
      <w:r w:rsidRPr="001B1880">
        <w:rPr>
          <w:rFonts w:ascii="Verdana" w:hAnsi="Verdana"/>
          <w:w w:val="95"/>
          <w:sz w:val="32"/>
          <w:szCs w:val="32"/>
          <w:highlight w:val="yellow"/>
          <w:lang w:val="it-IT"/>
        </w:rPr>
        <w:t xml:space="preserve"> o l’</w:t>
      </w:r>
      <w:r w:rsidRPr="001B1880">
        <w:rPr>
          <w:rFonts w:ascii="Verdana" w:hAnsi="Verdana"/>
          <w:sz w:val="32"/>
          <w:szCs w:val="32"/>
          <w:highlight w:val="yellow"/>
          <w:lang w:val="it-IT"/>
        </w:rPr>
        <w:t>indisponibilità di alimentazione elettrica</w:t>
      </w:r>
      <w:r w:rsidR="001B1880">
        <w:rPr>
          <w:rFonts w:ascii="Verdana" w:hAnsi="Verdana"/>
          <w:sz w:val="32"/>
          <w:szCs w:val="32"/>
          <w:highlight w:val="yellow"/>
          <w:lang w:val="it-IT"/>
        </w:rPr>
        <w:t>.</w:t>
      </w: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</w:p>
    <w:p w:rsidR="00AD14F5" w:rsidRPr="00AD14F5" w:rsidRDefault="00AD14F5" w:rsidP="001B1880">
      <w:pPr>
        <w:pStyle w:val="Corpotesto"/>
        <w:jc w:val="right"/>
        <w:rPr>
          <w:rFonts w:ascii="Verdana" w:hAnsi="Verdana"/>
          <w:sz w:val="32"/>
          <w:szCs w:val="32"/>
          <w:lang w:val="it-IT"/>
        </w:rPr>
      </w:pPr>
      <w:bookmarkStart w:id="0" w:name="_GoBack"/>
      <w:bookmarkEnd w:id="0"/>
      <w:r>
        <w:rPr>
          <w:rFonts w:ascii="Verdana" w:hAnsi="Verdana"/>
          <w:sz w:val="32"/>
          <w:szCs w:val="32"/>
          <w:lang w:val="it-IT"/>
        </w:rPr>
        <w:t>Alberto Barbiero – Filippo Corradini</w:t>
      </w:r>
    </w:p>
    <w:p w:rsidR="00AD14F5" w:rsidRPr="007A5702" w:rsidRDefault="00AD14F5" w:rsidP="00AD14F5">
      <w:pPr>
        <w:rPr>
          <w:szCs w:val="32"/>
        </w:rPr>
      </w:pP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</w:p>
    <w:p w:rsidR="00AD14F5" w:rsidRDefault="00AD14F5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</w:p>
    <w:p w:rsidR="007A5702" w:rsidRPr="007A5702" w:rsidRDefault="007A5702" w:rsidP="00AD14F5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  <w:r w:rsidRPr="007A5702">
        <w:rPr>
          <w:rFonts w:ascii="Verdana" w:hAnsi="Verdana"/>
          <w:sz w:val="32"/>
          <w:szCs w:val="32"/>
          <w:lang w:val="it-IT"/>
        </w:rPr>
        <w:t xml:space="preserve">La revisione del PEF di cui agli articoli 165, comma 6, e 182, comma 3, del codice dei </w:t>
      </w:r>
      <w:r w:rsidRPr="007A5702">
        <w:rPr>
          <w:rFonts w:ascii="Verdana" w:hAnsi="Verdana"/>
          <w:w w:val="95"/>
          <w:sz w:val="32"/>
          <w:szCs w:val="32"/>
          <w:lang w:val="it-IT"/>
        </w:rPr>
        <w:t xml:space="preserve">contratti pubblici non può essere parziale e deve riguardare tutti gli scostamenti dai valori </w:t>
      </w:r>
      <w:r w:rsidRPr="007A5702">
        <w:rPr>
          <w:rFonts w:ascii="Verdana" w:hAnsi="Verdana"/>
          <w:sz w:val="32"/>
          <w:szCs w:val="32"/>
          <w:lang w:val="it-IT"/>
        </w:rPr>
        <w:t>indicati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dell’equilibrio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economico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finanziario.</w:t>
      </w:r>
      <w:r w:rsidRPr="007A5702">
        <w:rPr>
          <w:rFonts w:ascii="Verdana" w:hAnsi="Verdana"/>
          <w:spacing w:val="-13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Gli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eventuali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scostamenti</w:t>
      </w:r>
      <w:r w:rsidRPr="007A5702">
        <w:rPr>
          <w:rFonts w:ascii="Verdana" w:hAnsi="Verdana"/>
          <w:spacing w:val="-1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rientranti</w:t>
      </w:r>
      <w:r w:rsidRPr="007A5702">
        <w:rPr>
          <w:rFonts w:ascii="Verdana" w:hAnsi="Verdana"/>
          <w:spacing w:val="-14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nei rischi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allocati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alla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parte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privata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sono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riequilibrati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oneri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e/o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compensazioni</w:t>
      </w:r>
      <w:r w:rsidRPr="007A5702">
        <w:rPr>
          <w:rFonts w:ascii="Verdana" w:hAnsi="Verdana"/>
          <w:spacing w:val="-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</w:t>
      </w:r>
      <w:r w:rsidRPr="007A5702">
        <w:rPr>
          <w:rFonts w:ascii="Verdana" w:hAnsi="Verdana"/>
          <w:spacing w:val="-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carico della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stessa.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valori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degli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indicatori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economici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finanziari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progetto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rappresentano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un utile strumento di monitoraggio delle revisioni del piano. Le variazioni di detti</w:t>
      </w:r>
      <w:r w:rsidRPr="007A5702">
        <w:rPr>
          <w:rFonts w:ascii="Verdana" w:hAnsi="Verdana"/>
          <w:spacing w:val="4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valori,</w:t>
      </w:r>
    </w:p>
    <w:p w:rsidR="007A5702" w:rsidRPr="007A5702" w:rsidRDefault="007A5702" w:rsidP="007A5702">
      <w:pPr>
        <w:rPr>
          <w:szCs w:val="32"/>
        </w:rPr>
        <w:sectPr w:rsidR="007A5702" w:rsidRPr="007A5702">
          <w:pgSz w:w="11910" w:h="16840"/>
          <w:pgMar w:top="1340" w:right="900" w:bottom="1200" w:left="920" w:header="0" w:footer="988" w:gutter="0"/>
          <w:cols w:space="720"/>
        </w:sectPr>
      </w:pPr>
    </w:p>
    <w:p w:rsidR="007A5702" w:rsidRPr="007A5702" w:rsidRDefault="007A5702" w:rsidP="007A5702">
      <w:pPr>
        <w:pStyle w:val="Corpotesto"/>
        <w:jc w:val="both"/>
        <w:rPr>
          <w:rFonts w:ascii="Verdana" w:hAnsi="Verdana"/>
          <w:sz w:val="32"/>
          <w:szCs w:val="32"/>
          <w:lang w:val="it-IT"/>
        </w:rPr>
      </w:pPr>
      <w:r w:rsidRPr="007A5702">
        <w:rPr>
          <w:rFonts w:ascii="Verdana" w:hAnsi="Verdana"/>
          <w:w w:val="95"/>
          <w:sz w:val="32"/>
          <w:szCs w:val="32"/>
          <w:lang w:val="it-IT"/>
        </w:rPr>
        <w:lastRenderedPageBreak/>
        <w:t xml:space="preserve">rilevati nel corso dell’esecuzione del contratto potrebbero segnalare casi in cui la revisione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PEF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ha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modificato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le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condizioni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2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equilibrio</w:t>
      </w:r>
      <w:r w:rsidRPr="007A5702">
        <w:rPr>
          <w:rFonts w:ascii="Verdana" w:hAnsi="Verdana"/>
          <w:spacing w:val="-29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iniziale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a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vantaggio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della</w:t>
      </w:r>
      <w:r w:rsidRPr="007A5702">
        <w:rPr>
          <w:rFonts w:ascii="Verdana" w:hAnsi="Verdana"/>
          <w:spacing w:val="-28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parte</w:t>
      </w:r>
      <w:r w:rsidRPr="007A5702">
        <w:rPr>
          <w:rFonts w:ascii="Verdana" w:hAnsi="Verdana"/>
          <w:spacing w:val="-27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privata.</w:t>
      </w:r>
    </w:p>
    <w:p w:rsidR="009E1837" w:rsidRPr="007A5702" w:rsidRDefault="007A5702" w:rsidP="00AD14F5">
      <w:pPr>
        <w:pStyle w:val="Paragrafoelenco"/>
        <w:numPr>
          <w:ilvl w:val="1"/>
          <w:numId w:val="1"/>
        </w:numPr>
        <w:tabs>
          <w:tab w:val="left" w:pos="782"/>
        </w:tabs>
        <w:ind w:left="0" w:firstLine="0"/>
        <w:jc w:val="both"/>
        <w:rPr>
          <w:rFonts w:ascii="Verdana" w:hAnsi="Verdana"/>
          <w:sz w:val="32"/>
          <w:szCs w:val="32"/>
        </w:rPr>
      </w:pPr>
      <w:r w:rsidRPr="007A5702">
        <w:rPr>
          <w:rFonts w:ascii="Verdana" w:hAnsi="Verdana"/>
          <w:sz w:val="32"/>
          <w:szCs w:val="32"/>
          <w:lang w:val="it-IT"/>
        </w:rPr>
        <w:t>L’articolo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182,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comma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3,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codice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contratti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pubblici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dei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contratti</w:t>
      </w:r>
      <w:r w:rsidRPr="007A5702">
        <w:rPr>
          <w:rFonts w:ascii="Verdana" w:hAnsi="Verdana"/>
          <w:spacing w:val="-21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pubblici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>si</w:t>
      </w:r>
      <w:r w:rsidRPr="007A5702">
        <w:rPr>
          <w:rFonts w:ascii="Verdana" w:hAnsi="Verdana"/>
          <w:spacing w:val="-20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sz w:val="32"/>
          <w:szCs w:val="32"/>
          <w:lang w:val="it-IT"/>
        </w:rPr>
        <w:t xml:space="preserve">applica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anche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alla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revisione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del</w:t>
      </w:r>
      <w:r w:rsidRPr="007A5702">
        <w:rPr>
          <w:rFonts w:ascii="Verdana" w:hAnsi="Verdana"/>
          <w:spacing w:val="-11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PEF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nell’ambito</w:t>
      </w:r>
      <w:r w:rsidRPr="007A5702">
        <w:rPr>
          <w:rFonts w:ascii="Verdana" w:hAnsi="Verdana"/>
          <w:spacing w:val="-9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contratti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di</w:t>
      </w:r>
      <w:r w:rsidRPr="007A5702">
        <w:rPr>
          <w:rFonts w:ascii="Verdana" w:hAnsi="Verdana"/>
          <w:spacing w:val="-9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concessione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prevista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>all’articolo</w:t>
      </w:r>
      <w:r w:rsidRPr="007A5702">
        <w:rPr>
          <w:rFonts w:ascii="Verdana" w:hAnsi="Verdana"/>
          <w:spacing w:val="-10"/>
          <w:w w:val="95"/>
          <w:sz w:val="32"/>
          <w:szCs w:val="32"/>
          <w:lang w:val="it-IT"/>
        </w:rPr>
        <w:t xml:space="preserve"> </w:t>
      </w:r>
      <w:r w:rsidRPr="007A5702">
        <w:rPr>
          <w:rFonts w:ascii="Verdana" w:hAnsi="Verdana"/>
          <w:w w:val="95"/>
          <w:sz w:val="32"/>
          <w:szCs w:val="32"/>
          <w:lang w:val="it-IT"/>
        </w:rPr>
        <w:t xml:space="preserve">165, </w:t>
      </w:r>
      <w:r w:rsidRPr="007A5702">
        <w:rPr>
          <w:rFonts w:ascii="Verdana" w:hAnsi="Verdana"/>
          <w:sz w:val="32"/>
          <w:szCs w:val="32"/>
          <w:lang w:val="it-IT"/>
        </w:rPr>
        <w:t xml:space="preserve">comma 6, del codice dei contratti pubblici. </w:t>
      </w:r>
    </w:p>
    <w:sectPr w:rsidR="009E1837" w:rsidRPr="007A57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447E0"/>
    <w:multiLevelType w:val="multilevel"/>
    <w:tmpl w:val="5324E3D0"/>
    <w:lvl w:ilvl="0">
      <w:start w:val="1"/>
      <w:numFmt w:val="decimal"/>
      <w:lvlText w:val="%1."/>
      <w:lvlJc w:val="left"/>
      <w:pPr>
        <w:ind w:left="781" w:hanging="360"/>
        <w:jc w:val="left"/>
      </w:pPr>
      <w:rPr>
        <w:rFonts w:ascii="Georgia" w:eastAsia="Georgia" w:hAnsi="Georgia" w:cs="Georgia" w:hint="default"/>
        <w:b/>
        <w:bCs/>
        <w:w w:val="94"/>
        <w:sz w:val="24"/>
        <w:szCs w:val="24"/>
      </w:rPr>
    </w:lvl>
    <w:lvl w:ilvl="1">
      <w:start w:val="1"/>
      <w:numFmt w:val="decimal"/>
      <w:lvlText w:val="%1.%2"/>
      <w:lvlJc w:val="left"/>
      <w:pPr>
        <w:ind w:left="781" w:hanging="426"/>
        <w:jc w:val="left"/>
      </w:pPr>
      <w:rPr>
        <w:rFonts w:ascii="Georgia" w:eastAsia="Georgia" w:hAnsi="Georgia" w:cs="Georgia" w:hint="default"/>
        <w:b/>
        <w:bCs/>
        <w:w w:val="97"/>
        <w:sz w:val="24"/>
        <w:szCs w:val="24"/>
      </w:rPr>
    </w:lvl>
    <w:lvl w:ilvl="2">
      <w:start w:val="1"/>
      <w:numFmt w:val="lowerLetter"/>
      <w:lvlText w:val="%3)"/>
      <w:lvlJc w:val="left"/>
      <w:pPr>
        <w:ind w:left="1632" w:hanging="426"/>
        <w:jc w:val="left"/>
      </w:pPr>
      <w:rPr>
        <w:rFonts w:ascii="Georgia" w:eastAsia="Georgia" w:hAnsi="Georgia" w:cs="Georgia" w:hint="default"/>
        <w:w w:val="81"/>
        <w:sz w:val="24"/>
        <w:szCs w:val="24"/>
      </w:rPr>
    </w:lvl>
    <w:lvl w:ilvl="3">
      <w:numFmt w:val="bullet"/>
      <w:lvlText w:val="•"/>
      <w:lvlJc w:val="left"/>
      <w:pPr>
        <w:ind w:left="1780" w:hanging="426"/>
      </w:pPr>
      <w:rPr>
        <w:rFonts w:hint="default"/>
      </w:rPr>
    </w:lvl>
    <w:lvl w:ilvl="4">
      <w:numFmt w:val="bullet"/>
      <w:lvlText w:val="•"/>
      <w:lvlJc w:val="left"/>
      <w:pPr>
        <w:ind w:left="2966" w:hanging="426"/>
      </w:pPr>
      <w:rPr>
        <w:rFonts w:hint="default"/>
      </w:rPr>
    </w:lvl>
    <w:lvl w:ilvl="5">
      <w:numFmt w:val="bullet"/>
      <w:lvlText w:val="•"/>
      <w:lvlJc w:val="left"/>
      <w:pPr>
        <w:ind w:left="4152" w:hanging="426"/>
      </w:pPr>
      <w:rPr>
        <w:rFonts w:hint="default"/>
      </w:rPr>
    </w:lvl>
    <w:lvl w:ilvl="6">
      <w:numFmt w:val="bullet"/>
      <w:lvlText w:val="•"/>
      <w:lvlJc w:val="left"/>
      <w:pPr>
        <w:ind w:left="5339" w:hanging="426"/>
      </w:pPr>
      <w:rPr>
        <w:rFonts w:hint="default"/>
      </w:rPr>
    </w:lvl>
    <w:lvl w:ilvl="7">
      <w:numFmt w:val="bullet"/>
      <w:lvlText w:val="•"/>
      <w:lvlJc w:val="left"/>
      <w:pPr>
        <w:ind w:left="6525" w:hanging="426"/>
      </w:pPr>
      <w:rPr>
        <w:rFonts w:hint="default"/>
      </w:rPr>
    </w:lvl>
    <w:lvl w:ilvl="8">
      <w:numFmt w:val="bullet"/>
      <w:lvlText w:val="•"/>
      <w:lvlJc w:val="left"/>
      <w:pPr>
        <w:ind w:left="7711" w:hanging="4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54"/>
    <w:rsid w:val="001B1880"/>
    <w:rsid w:val="007A5702"/>
    <w:rsid w:val="00820D57"/>
    <w:rsid w:val="009E1837"/>
    <w:rsid w:val="00AD14F5"/>
    <w:rsid w:val="00BD7E4F"/>
    <w:rsid w:val="00C87AB6"/>
    <w:rsid w:val="00F8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BC5C"/>
  <w15:chartTrackingRefBased/>
  <w15:docId w15:val="{9602FAD8-3E79-453B-8EA2-E4AB1A80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3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7A5702"/>
    <w:pPr>
      <w:widowControl w:val="0"/>
      <w:autoSpaceDE w:val="0"/>
      <w:autoSpaceDN w:val="0"/>
      <w:jc w:val="left"/>
    </w:pPr>
    <w:rPr>
      <w:rFonts w:ascii="Georgia" w:eastAsia="Georgia" w:hAnsi="Georgia" w:cs="Georgia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5702"/>
    <w:rPr>
      <w:rFonts w:ascii="Georgia" w:eastAsia="Georgia" w:hAnsi="Georgia" w:cs="Georgia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7A5702"/>
    <w:pPr>
      <w:widowControl w:val="0"/>
      <w:autoSpaceDE w:val="0"/>
      <w:autoSpaceDN w:val="0"/>
      <w:ind w:left="1632" w:hanging="426"/>
    </w:pPr>
    <w:rPr>
      <w:rFonts w:ascii="Georgia" w:eastAsia="Georgia" w:hAnsi="Georgia" w:cs="Georgia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515</Words>
  <Characters>3122</Characters>
  <Application>Microsoft Office Word</Application>
  <DocSecurity>0</DocSecurity>
  <Lines>70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Barbiero</dc:creator>
  <cp:keywords/>
  <dc:description/>
  <cp:lastModifiedBy>Alberto Barbiero</cp:lastModifiedBy>
  <cp:revision>3</cp:revision>
  <dcterms:created xsi:type="dcterms:W3CDTF">2018-04-12T15:03:00Z</dcterms:created>
  <dcterms:modified xsi:type="dcterms:W3CDTF">2018-04-12T18:44:00Z</dcterms:modified>
</cp:coreProperties>
</file>